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6A" w:rsidRPr="00456A8F" w:rsidRDefault="00456A8F" w:rsidP="00456A8F">
      <w:pPr>
        <w:jc w:val="center"/>
        <w:rPr>
          <w:b/>
          <w:sz w:val="24"/>
          <w:szCs w:val="24"/>
        </w:rPr>
      </w:pPr>
      <w:r w:rsidRPr="00456A8F">
        <w:rPr>
          <w:b/>
          <w:sz w:val="24"/>
          <w:szCs w:val="24"/>
        </w:rPr>
        <w:t>ПОДОКОННИКИ МЕЛЛЕР (ГЕРМАНИЯ)</w:t>
      </w:r>
    </w:p>
    <w:p w:rsidR="00B71CAF" w:rsidRPr="00B71CAF" w:rsidRDefault="00456A8F" w:rsidP="00456A8F">
      <w:pPr>
        <w:spacing w:after="450" w:line="300" w:lineRule="atLeast"/>
        <w:jc w:val="center"/>
        <w:outlineLvl w:val="2"/>
        <w:rPr>
          <w:rFonts w:ascii="helveticaneuecyrbold" w:eastAsia="Times New Roman" w:hAnsi="helveticaneuecyrbold" w:cs="Helvetica"/>
          <w:color w:val="444444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3000" cy="647700"/>
            <wp:effectExtent l="19050" t="0" r="0" b="0"/>
            <wp:docPr id="2" name="Рисунок 1" descr="Белый гля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ый гляне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33425" cy="714375"/>
            <wp:effectExtent l="0" t="0" r="0" b="0"/>
            <wp:docPr id="4" name="Рисунок 4" descr="proch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chno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Двойной запас прочности</w:t>
      </w:r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62000" cy="714375"/>
            <wp:effectExtent l="0" t="0" r="0" b="0"/>
            <wp:docPr id="5" name="Рисунок 5" descr="ne-vigora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-vigora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Устойчивость к UF-лучам</w:t>
      </w:r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52475" cy="714375"/>
            <wp:effectExtent l="0" t="0" r="0" b="0"/>
            <wp:docPr id="6" name="Рисунок 6" descr="vlagostoi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lagostoiko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Абсолютная влагостойкость</w:t>
      </w:r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33425" cy="723900"/>
            <wp:effectExtent l="0" t="0" r="0" b="0"/>
            <wp:docPr id="7" name="Рисунок 7" descr="ustoichiv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toichivo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Устойчивость к царапинам</w:t>
      </w:r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62000" cy="723900"/>
            <wp:effectExtent l="0" t="0" r="0" b="0"/>
            <wp:docPr id="8" name="Рисунок 8" descr="bitovih-zagryazne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tovih-zagryazne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Не боит</w:t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ся бытовых загрязнений</w:t>
      </w:r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62000" cy="723900"/>
            <wp:effectExtent l="0" t="0" r="0" b="0"/>
            <wp:docPr id="9" name="Рисунок 9" descr="termostoi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rmostoik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Термостойкость до 150</w:t>
      </w:r>
      <w:proofErr w:type="gramStart"/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С</w:t>
      </w:r>
      <w:proofErr w:type="gramEnd"/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52475" cy="723900"/>
            <wp:effectExtent l="0" t="0" r="0" b="0"/>
            <wp:docPr id="10" name="Рисунок 10" descr="mo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nta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Легкий монтаж</w:t>
      </w:r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71525" cy="723900"/>
            <wp:effectExtent l="0" t="0" r="0" b="0"/>
            <wp:docPr id="11" name="Рисунок 11" descr="lami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mina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Сверхпрочный </w:t>
      </w:r>
      <w:proofErr w:type="spellStart"/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ламинат</w:t>
      </w:r>
      <w:proofErr w:type="spellEnd"/>
    </w:p>
    <w:p w:rsidR="00B71CAF" w:rsidRPr="00B71CAF" w:rsidRDefault="00B71CAF" w:rsidP="00456A8F">
      <w:pPr>
        <w:numPr>
          <w:ilvl w:val="0"/>
          <w:numId w:val="1"/>
        </w:numPr>
        <w:shd w:val="clear" w:color="auto" w:fill="1980A9"/>
        <w:tabs>
          <w:tab w:val="left" w:pos="9356"/>
        </w:tabs>
        <w:spacing w:after="0" w:afterAutospacing="1" w:line="300" w:lineRule="atLeast"/>
        <w:ind w:left="300" w:right="1983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762000" cy="714375"/>
            <wp:effectExtent l="0" t="0" r="0" b="0"/>
            <wp:docPr id="12" name="Рисунок 12" descr="no-chem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-chemica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AF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Устойчивость к воздействию химикатами</w:t>
      </w:r>
    </w:p>
    <w:p w:rsidR="00B71CAF" w:rsidRPr="00B71CAF" w:rsidRDefault="00B71CAF" w:rsidP="00456A8F">
      <w:pPr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876425" cy="1209675"/>
            <wp:effectExtent l="19050" t="0" r="9525" b="0"/>
            <wp:docPr id="14" name="Рисунок 14" descr="zasch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aschit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AF" w:rsidRPr="00B71CAF" w:rsidRDefault="00B71CAF" w:rsidP="00456A8F">
      <w:pPr>
        <w:spacing w:after="450" w:line="300" w:lineRule="atLeast"/>
        <w:jc w:val="center"/>
        <w:outlineLvl w:val="2"/>
        <w:rPr>
          <w:rFonts w:ascii="helveticaneuecyrbold" w:eastAsia="Times New Roman" w:hAnsi="helveticaneuecyrbold" w:cs="Helvetica"/>
          <w:color w:val="444444"/>
          <w:sz w:val="36"/>
          <w:szCs w:val="36"/>
          <w:lang w:eastAsia="ru-RU"/>
        </w:rPr>
      </w:pPr>
      <w:r w:rsidRPr="00B71CAF">
        <w:rPr>
          <w:rFonts w:ascii="helveticaneuecyrbold" w:eastAsia="Times New Roman" w:hAnsi="helveticaneuecyrbold" w:cs="Helvetica"/>
          <w:color w:val="444444"/>
          <w:sz w:val="36"/>
          <w:szCs w:val="36"/>
          <w:lang w:eastAsia="ru-RU"/>
        </w:rPr>
        <w:lastRenderedPageBreak/>
        <w:t xml:space="preserve">Характеристики подоконников </w:t>
      </w:r>
      <w:proofErr w:type="spellStart"/>
      <w:r w:rsidRPr="00B71CAF">
        <w:rPr>
          <w:rFonts w:ascii="helveticaneuecyrbold" w:eastAsia="Times New Roman" w:hAnsi="helveticaneuecyrbold" w:cs="Helvetica"/>
          <w:color w:val="444444"/>
          <w:sz w:val="36"/>
          <w:szCs w:val="36"/>
          <w:lang w:eastAsia="ru-RU"/>
        </w:rPr>
        <w:t>Moeller</w:t>
      </w:r>
      <w:proofErr w:type="spellEnd"/>
    </w:p>
    <w:tbl>
      <w:tblPr>
        <w:tblW w:w="11349" w:type="dxa"/>
        <w:tblInd w:w="-2127" w:type="dxa"/>
        <w:tblBorders>
          <w:left w:val="single" w:sz="12" w:space="0" w:color="108ABB"/>
          <w:bottom w:val="single" w:sz="12" w:space="0" w:color="108ABB"/>
          <w:right w:val="single" w:sz="12" w:space="0" w:color="108A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9"/>
        <w:gridCol w:w="1843"/>
        <w:gridCol w:w="1701"/>
        <w:gridCol w:w="1843"/>
        <w:gridCol w:w="1843"/>
      </w:tblGrid>
      <w:tr w:rsidR="00B71CAF" w:rsidRPr="00B71CAF" w:rsidTr="00456A8F">
        <w:trPr>
          <w:tblHeader/>
        </w:trPr>
        <w:tc>
          <w:tcPr>
            <w:tcW w:w="4119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Геометрические размеры, свойства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LD-S 30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Обычный подоконник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подоконника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горизонтальных стенок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вертикальных стенок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0,8-1,1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  <w:proofErr w:type="spellStart"/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капиноса</w:t>
            </w:r>
            <w:proofErr w:type="spellEnd"/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30-45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подоконника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</w:t>
            </w:r>
            <w:proofErr w:type="gramStart"/>
            <w:r w:rsidRPr="00B71CA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6,5-8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ПВХ в составе смеси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71CAF" w:rsidRPr="00B71CAF" w:rsidTr="00456A8F">
        <w:tc>
          <w:tcPr>
            <w:tcW w:w="11349" w:type="dxa"/>
            <w:gridSpan w:val="5"/>
            <w:tcBorders>
              <w:top w:val="single" w:sz="6" w:space="0" w:color="38A3CE"/>
              <w:left w:val="single" w:sz="6" w:space="0" w:color="38A3CE"/>
              <w:bottom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r w:rsidRPr="00B7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ламината</w:t>
            </w:r>
            <w:proofErr w:type="spellEnd"/>
            <w:r w:rsidRPr="00B7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ELESGO°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царапинам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 EN 438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&gt;=5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&gt;=2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воздействию химикатами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 EN 438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&gt;=5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&gt;=2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на изгиб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 EN 310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Рассчетный</w:t>
            </w:r>
            <w:proofErr w:type="spellEnd"/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эксплуатации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CAF" w:rsidRPr="00B71CAF" w:rsidTr="00456A8F">
        <w:tc>
          <w:tcPr>
            <w:tcW w:w="4119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Гарантийные обязательства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71CAF" w:rsidRPr="00B71CAF" w:rsidRDefault="00B71CAF" w:rsidP="00B71CAF">
      <w:pPr>
        <w:spacing w:after="0" w:line="300" w:lineRule="atLeast"/>
        <w:rPr>
          <w:rFonts w:ascii="Helvetica" w:eastAsia="Times New Roman" w:hAnsi="Helvetica" w:cs="Helvetica"/>
          <w:vanish/>
          <w:color w:val="444444"/>
          <w:sz w:val="21"/>
          <w:szCs w:val="21"/>
          <w:lang w:eastAsia="ru-RU"/>
        </w:rPr>
      </w:pPr>
    </w:p>
    <w:tbl>
      <w:tblPr>
        <w:tblW w:w="11349" w:type="dxa"/>
        <w:tblInd w:w="-2127" w:type="dxa"/>
        <w:tblBorders>
          <w:left w:val="single" w:sz="12" w:space="0" w:color="108ABB"/>
          <w:bottom w:val="single" w:sz="12" w:space="0" w:color="108ABB"/>
          <w:right w:val="single" w:sz="12" w:space="0" w:color="108A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6"/>
        <w:gridCol w:w="2127"/>
        <w:gridCol w:w="2693"/>
        <w:gridCol w:w="1843"/>
      </w:tblGrid>
      <w:tr w:rsidR="00B71CAF" w:rsidRPr="00B71CAF" w:rsidTr="00456A8F">
        <w:trPr>
          <w:tblHeader/>
        </w:trPr>
        <w:tc>
          <w:tcPr>
            <w:tcW w:w="4686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Физико-механические характеристики подоконников </w:t>
            </w:r>
            <w:proofErr w:type="spellStart"/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Moeller</w:t>
            </w:r>
            <w:proofErr w:type="spellEnd"/>
          </w:p>
        </w:tc>
        <w:tc>
          <w:tcPr>
            <w:tcW w:w="2127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3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before="300"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108AB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LD-S 30</w:t>
            </w:r>
          </w:p>
        </w:tc>
      </w:tr>
      <w:tr w:rsidR="00B71CAF" w:rsidRPr="00B71CAF" w:rsidTr="00456A8F">
        <w:tc>
          <w:tcPr>
            <w:tcW w:w="4686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при растяжении</w:t>
            </w:r>
          </w:p>
        </w:tc>
        <w:tc>
          <w:tcPr>
            <w:tcW w:w="2127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H/мм</w:t>
            </w:r>
            <w:proofErr w:type="gramStart"/>
            <w:r w:rsidRPr="00B71CA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11262-80)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43,5</w:t>
            </w:r>
          </w:p>
        </w:tc>
      </w:tr>
      <w:tr w:rsidR="00B71CAF" w:rsidRPr="00B71CAF" w:rsidTr="00456A8F">
        <w:tc>
          <w:tcPr>
            <w:tcW w:w="4686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Термостойкость при +150°</w:t>
            </w:r>
          </w:p>
        </w:tc>
        <w:tc>
          <w:tcPr>
            <w:tcW w:w="2127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69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(ТУ)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71CAF" w:rsidRPr="00B71CAF" w:rsidTr="00456A8F">
        <w:tc>
          <w:tcPr>
            <w:tcW w:w="4686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Ударная вязкость при </w:t>
            </w:r>
            <w:proofErr w:type="spellStart"/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Шаарпи</w:t>
            </w:r>
            <w:proofErr w:type="spellEnd"/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ускоренного светового старения 500 часов</w:t>
            </w:r>
          </w:p>
        </w:tc>
        <w:tc>
          <w:tcPr>
            <w:tcW w:w="2127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кДж/м</w:t>
            </w:r>
            <w:proofErr w:type="gramStart"/>
            <w:r w:rsidRPr="00B71CA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9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4647)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shd w:val="clear" w:color="auto" w:fill="F8FB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</w:tr>
      <w:tr w:rsidR="00B71CAF" w:rsidRPr="00B71CAF" w:rsidTr="00456A8F">
        <w:tc>
          <w:tcPr>
            <w:tcW w:w="4686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Светостойкость после ускоренного светового старения 500 часов</w:t>
            </w:r>
          </w:p>
        </w:tc>
        <w:tc>
          <w:tcPr>
            <w:tcW w:w="2127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-20%</w:t>
            </w:r>
            <w:r w:rsidRPr="00B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30673)</w:t>
            </w:r>
          </w:p>
        </w:tc>
        <w:tc>
          <w:tcPr>
            <w:tcW w:w="1843" w:type="dxa"/>
            <w:tcBorders>
              <w:left w:val="single" w:sz="6" w:space="0" w:color="38A3C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1CAF" w:rsidRPr="00B71CAF" w:rsidRDefault="00B71CAF" w:rsidP="00B71CA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-0,1%</w:t>
            </w:r>
          </w:p>
        </w:tc>
      </w:tr>
    </w:tbl>
    <w:p w:rsidR="00456A8F" w:rsidRDefault="00456A8F" w:rsidP="00B71CAF">
      <w:pPr>
        <w:spacing w:after="450" w:line="300" w:lineRule="atLeast"/>
        <w:outlineLvl w:val="2"/>
        <w:rPr>
          <w:rFonts w:ascii="helveticaneuecyrbold" w:eastAsia="Times New Roman" w:hAnsi="helveticaneuecyrbold" w:cs="Helvetica"/>
          <w:color w:val="444444"/>
          <w:sz w:val="36"/>
          <w:szCs w:val="36"/>
          <w:lang w:eastAsia="ru-RU"/>
        </w:rPr>
      </w:pPr>
    </w:p>
    <w:p w:rsidR="00B71CAF" w:rsidRPr="00B71CAF" w:rsidRDefault="00B71CAF" w:rsidP="00456A8F">
      <w:pPr>
        <w:spacing w:after="450" w:line="300" w:lineRule="atLeast"/>
        <w:jc w:val="center"/>
        <w:outlineLvl w:val="2"/>
        <w:rPr>
          <w:rFonts w:ascii="helveticaneuecyrbold" w:eastAsia="Times New Roman" w:hAnsi="helveticaneuecyrbold" w:cs="Helvetica"/>
          <w:color w:val="444444"/>
          <w:sz w:val="36"/>
          <w:szCs w:val="36"/>
          <w:lang w:eastAsia="ru-RU"/>
        </w:rPr>
      </w:pPr>
      <w:r w:rsidRPr="00B71CAF">
        <w:rPr>
          <w:rFonts w:ascii="helveticaneuecyrbold" w:eastAsia="Times New Roman" w:hAnsi="helveticaneuecyrbold" w:cs="Helvetica"/>
          <w:color w:val="444444"/>
          <w:sz w:val="36"/>
          <w:szCs w:val="36"/>
          <w:lang w:eastAsia="ru-RU"/>
        </w:rPr>
        <w:lastRenderedPageBreak/>
        <w:t>Подоконники MOELLER</w:t>
      </w:r>
    </w:p>
    <w:p w:rsidR="00B71CAF" w:rsidRPr="00B71CAF" w:rsidRDefault="00B71CAF" w:rsidP="00456A8F">
      <w:pPr>
        <w:spacing w:after="0" w:line="300" w:lineRule="atLeast"/>
        <w:ind w:left="-1701"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Компания MÖLLER более 30 лет производит высококачественные подоконники на основе композиции ПВХ и древесной муки – смеси LIGNODUR.</w:t>
      </w:r>
    </w:p>
    <w:p w:rsidR="00B71CAF" w:rsidRPr="00B71CAF" w:rsidRDefault="00B71CAF" w:rsidP="00456A8F">
      <w:pPr>
        <w:spacing w:before="225" w:after="0" w:line="300" w:lineRule="atLeast"/>
        <w:ind w:left="-1701"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Изделия из композиции LIGNODUR ® отличаются высокой прочностью, не боятся ударов, выдерживают значительные нагрузки, воздействие высокой и низкой температуры, воды и UF-лучей.</w:t>
      </w:r>
    </w:p>
    <w:p w:rsidR="00B71CAF" w:rsidRPr="00B71CAF" w:rsidRDefault="00B71CAF" w:rsidP="00456A8F">
      <w:pPr>
        <w:spacing w:before="225" w:after="0" w:line="300" w:lineRule="atLeast"/>
        <w:ind w:left="-1701"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На подоконники MÖLLER устанавливается </w:t>
      </w:r>
      <w:proofErr w:type="gramStart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многослойный</w:t>
      </w:r>
      <w:proofErr w:type="gramEnd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ламинат</w:t>
      </w:r>
      <w:proofErr w:type="spellEnd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Elesgo-plus</w:t>
      </w:r>
      <w:proofErr w:type="spellEnd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on</w:t>
      </w:r>
      <w:proofErr w:type="spellEnd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top</w:t>
      </w:r>
      <w:proofErr w:type="spellEnd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Это позволило дополнить положительные характеристики подоконника целым рядом уникальных качеств: стойкость поверхности к износу и царапанию, нейтральность к воздействию бытовых химических веществ.</w:t>
      </w:r>
    </w:p>
    <w:p w:rsidR="00B71CAF" w:rsidRPr="00B71CAF" w:rsidRDefault="00B71CAF" w:rsidP="00456A8F">
      <w:pPr>
        <w:spacing w:before="225" w:after="0" w:line="300" w:lineRule="atLeast"/>
        <w:ind w:left="-1701"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Для соединения подоконной доски и многослойного </w:t>
      </w:r>
      <w:proofErr w:type="spellStart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ламината</w:t>
      </w:r>
      <w:proofErr w:type="spellEnd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используется только полиуретановый двухкомпонентный клей-расплав </w:t>
      </w:r>
      <w:proofErr w:type="spellStart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KlEIBERIT</w:t>
      </w:r>
      <w:proofErr w:type="spellEnd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B71CAF" w:rsidRPr="00B71CAF" w:rsidRDefault="00B71CAF" w:rsidP="00456A8F">
      <w:pPr>
        <w:spacing w:before="225" w:after="0" w:line="300" w:lineRule="atLeast"/>
        <w:ind w:left="-1701"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 изготовлении подоконника </w:t>
      </w:r>
      <w:proofErr w:type="spellStart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Möller</w:t>
      </w:r>
      <w:proofErr w:type="spellEnd"/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не применяются материалы опасные для здоровья человека, а так же материалы неизвестного происхождения и сомнительного качества.</w:t>
      </w:r>
    </w:p>
    <w:p w:rsidR="00B71CAF" w:rsidRPr="00B71CAF" w:rsidRDefault="00B71CAF" w:rsidP="00456A8F">
      <w:pPr>
        <w:spacing w:before="225" w:after="0" w:line="300" w:lineRule="atLeast"/>
        <w:ind w:left="-1701"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71CA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Все эти характеристики позволяют эксплуатировать подоконники до 40 лет и увеличивают гарантийный срок до 3-х лет.</w:t>
      </w:r>
    </w:p>
    <w:p w:rsidR="00B71CAF" w:rsidRDefault="00B71CAF"/>
    <w:sectPr w:rsidR="00B71CAF" w:rsidSect="00456A8F">
      <w:pgSz w:w="11906" w:h="16838"/>
      <w:pgMar w:top="709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6B21"/>
    <w:multiLevelType w:val="multilevel"/>
    <w:tmpl w:val="1D0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CAF"/>
    <w:rsid w:val="002B626A"/>
    <w:rsid w:val="00456A8F"/>
    <w:rsid w:val="00B7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6A"/>
  </w:style>
  <w:style w:type="paragraph" w:styleId="3">
    <w:name w:val="heading 3"/>
    <w:basedOn w:val="a"/>
    <w:link w:val="30"/>
    <w:uiPriority w:val="9"/>
    <w:qFormat/>
    <w:rsid w:val="00B71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71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7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1CAF"/>
    <w:rPr>
      <w:b/>
      <w:bCs/>
    </w:rPr>
  </w:style>
  <w:style w:type="character" w:customStyle="1" w:styleId="apple-converted-space">
    <w:name w:val="apple-converted-space"/>
    <w:basedOn w:val="a0"/>
    <w:rsid w:val="00B71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42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2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72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8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75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3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279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Сурмина</dc:creator>
  <cp:keywords/>
  <dc:description/>
  <cp:lastModifiedBy>Елена Сурмина</cp:lastModifiedBy>
  <cp:revision>3</cp:revision>
  <dcterms:created xsi:type="dcterms:W3CDTF">2014-09-08T13:38:00Z</dcterms:created>
  <dcterms:modified xsi:type="dcterms:W3CDTF">2014-09-08T13:53:00Z</dcterms:modified>
</cp:coreProperties>
</file>